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1F4E48"/>
          <w:sz w:val="44"/>
        </w:rPr>
        <w:t>商务报价单</w:t>
      </w:r>
    </w:p>
    <w:p>
      <w:pPr>
        <w:jc w:val="center"/>
      </w:pPr>
      <w:r>
        <w:rPr>
          <w:rFonts w:ascii="PingFang SC" w:hAnsi="PingFang SC" w:eastAsia="PingFang SC"/>
          <w:b/>
          <w:color w:val="595959"/>
          <w:sz w:val="28"/>
        </w:rPr>
        <w:t>GAP × 敦煌美术研究所 IP 联名授权合作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客户方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GAP（待确认主体）</w:t>
            </w:r>
          </w:p>
        </w:tc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报价方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杭州鲜活万物品牌管理有限公司（敦煌美术研究所独家代理）</w:t>
            </w:r>
          </w:p>
        </w:tc>
      </w:tr>
      <w:tr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项目名称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GAP × 敦煌美术研究所 IP 联名授权合作</w:t>
            </w:r>
          </w:p>
        </w:tc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报价日期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2026/6/8</w:t>
            </w:r>
          </w:p>
        </w:tc>
      </w:tr>
      <w:tr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报价类型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70万 / 80万一口价双方案</w:t>
            </w:r>
          </w:p>
        </w:tc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报价有效期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自报价日起30天</w:t>
            </w:r>
          </w:p>
        </w:tc>
      </w:tr>
    </w:tbl>
    <w:p>
      <w:pPr>
        <w:pStyle w:val="Heading1"/>
      </w:pPr>
      <w:r>
        <w:rPr>
          <w:rFonts w:ascii="PingFang SC" w:hAnsi="PingFang SC" w:eastAsia="PingFang SC"/>
          <w:b/>
          <w:color w:val="1F4E48"/>
        </w:rPr>
        <w:t>一、报价方案总览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75"/>
        <w:gridCol w:w="3475"/>
        <w:gridCol w:w="3475"/>
      </w:tblGrid>
      <w:tr>
        <w:tc>
          <w:tcPr>
            <w:tcW w:type="dxa" w:w="3475"/>
            <w:vAlign w:val="center"/>
            <w:shd w:fill="DDEDEA"/>
            <w:shd w:fill="EAF3F2"/>
          </w:tcPr>
          <w:p>
            <w:pPr>
              <w:jc w:val="left"/>
            </w:pPr>
            <w:r>
              <w:rPr>
                <w:rFonts w:ascii="PingFang SC" w:hAnsi="PingFang SC" w:eastAsia="PingFang SC"/>
                <w:b/>
                <w:color w:val="1F4E48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项目</w:t>
            </w:r>
          </w:p>
        </w:tc>
        <w:tc>
          <w:tcPr>
            <w:tcW w:type="dxa" w:w="3475"/>
            <w:vAlign w:val="center"/>
            <w:shd w:fill="DDEDEA"/>
            <w:shd w:fill="EAF3F2"/>
          </w:tcPr>
          <w:p>
            <w:pPr>
              <w:jc w:val="left"/>
            </w:pPr>
            <w:r>
              <w:rPr>
                <w:rFonts w:ascii="PingFang SC" w:hAnsi="PingFang SC" w:eastAsia="PingFang SC"/>
                <w:b/>
                <w:color w:val="1F4E48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方案一｜70万一口价</w:t>
            </w:r>
          </w:p>
        </w:tc>
        <w:tc>
          <w:tcPr>
            <w:tcW w:type="dxa" w:w="3475"/>
            <w:vAlign w:val="center"/>
            <w:shd w:fill="DDEDEA"/>
            <w:shd w:fill="EAF3F2"/>
          </w:tcPr>
          <w:p>
            <w:pPr>
              <w:jc w:val="left"/>
            </w:pPr>
            <w:r>
              <w:rPr>
                <w:rFonts w:ascii="PingFang SC" w:hAnsi="PingFang SC" w:eastAsia="PingFang SC"/>
                <w:b/>
                <w:color w:val="1F4E48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方案二｜80万一口价</w:t>
            </w:r>
          </w:p>
        </w:tc>
      </w:tr>
      <w:tr>
        <w:tc>
          <w:tcPr>
            <w:tcW w:type="dxa" w:w="3475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授权费用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人民币70万元（一口价）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人民币80万元（一口价）</w:t>
            </w:r>
          </w:p>
        </w:tc>
      </w:tr>
      <w:tr>
        <w:tc>
          <w:tcPr>
            <w:tcW w:type="dxa" w:w="3475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授权区域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中国大陆地区及港澳地区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中国大陆地区及港澳地区</w:t>
            </w:r>
          </w:p>
        </w:tc>
      </w:tr>
      <w:tr>
        <w:tc>
          <w:tcPr>
            <w:tcW w:type="dxa" w:w="3475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合作时间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12个月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12个月</w:t>
            </w:r>
          </w:p>
        </w:tc>
      </w:tr>
      <w:tr>
        <w:tc>
          <w:tcPr>
            <w:tcW w:type="dxa" w:w="3475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清货期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6个月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6个月</w:t>
            </w:r>
          </w:p>
        </w:tc>
      </w:tr>
      <w:tr>
        <w:tc>
          <w:tcPr>
            <w:tcW w:type="dxa" w:w="3475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授权款式数量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可开发60个款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可开发80个款</w:t>
            </w:r>
          </w:p>
        </w:tc>
      </w:tr>
      <w:tr>
        <w:tc>
          <w:tcPr>
            <w:tcW w:type="dxa" w:w="3475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图库授权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可选择6套二创图库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可选择6套二创图库</w:t>
            </w:r>
          </w:p>
        </w:tc>
      </w:tr>
      <w:tr>
        <w:tc>
          <w:tcPr>
            <w:tcW w:type="dxa" w:w="3475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合作品类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服饰：男装、女装、男童、女童；并允许开发礼赠品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服饰：男装、女装、男童、女童；并允许开发礼赠品</w:t>
            </w:r>
          </w:p>
        </w:tc>
      </w:tr>
      <w:tr>
        <w:tc>
          <w:tcPr>
            <w:tcW w:type="dxa" w:w="3475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礼赠品范围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允许10个礼赠品品类，具体开发数量由客户方根据项目需求决定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允许10个礼赠品品类，具体开发数量由客户方根据项目需求决定</w:t>
            </w:r>
          </w:p>
        </w:tc>
      </w:tr>
      <w:tr>
        <w:tc>
          <w:tcPr>
            <w:tcW w:type="dxa" w:w="3475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宣发支持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配合3次 × 2波宣发支持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配合3次 × 2波宣发支持</w:t>
            </w:r>
          </w:p>
        </w:tc>
      </w:tr>
      <w:tr>
        <w:tc>
          <w:tcPr>
            <w:tcW w:type="dxa" w:w="3475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活动支持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允许开展活动；春季、秋季各设置一个主要活动方案；二三线城市非重点门店可直接使用 take down 版方案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允许开展活动；春季、秋季各设置一个主要活动方案；二三线城市非重点门店可直接使用 take down 版方案</w:t>
            </w:r>
          </w:p>
        </w:tc>
      </w:tr>
      <w:tr>
        <w:tc>
          <w:tcPr>
            <w:tcW w:type="dxa" w:w="3475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防伪标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0.7元/个，按实际使用数量另行结算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0.7元/个，按实际使用数量另行结算</w:t>
            </w:r>
          </w:p>
        </w:tc>
      </w:tr>
      <w:tr>
        <w:tc>
          <w:tcPr>
            <w:tcW w:type="dxa" w:w="3475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开发时间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开发期由双方协商，以最终协商结果为准</w:t>
            </w:r>
          </w:p>
        </w:tc>
        <w:tc>
          <w:tcPr>
            <w:tcW w:type="dxa" w:w="3475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开发期由双方协商，以最终协商结果为准</w:t>
            </w:r>
          </w:p>
        </w:tc>
      </w:tr>
    </w:tbl>
    <w:p>
      <w:pPr>
        <w:pStyle w:val="Heading1"/>
      </w:pPr>
      <w:r>
        <w:rPr>
          <w:rFonts w:ascii="PingFang SC" w:hAnsi="PingFang SC" w:eastAsia="PingFang SC"/>
          <w:b/>
          <w:color w:val="1F4E48"/>
        </w:rPr>
        <w:t>二、授权权益明细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vAlign w:val="center"/>
            <w:shd w:fill="DDEDEA"/>
            <w:shd w:fill="EAF3F2"/>
          </w:tcPr>
          <w:p>
            <w:pPr>
              <w:jc w:val="left"/>
            </w:pPr>
            <w:r>
              <w:rPr>
                <w:rFonts w:ascii="PingFang SC" w:hAnsi="PingFang SC" w:eastAsia="PingFang SC"/>
                <w:b/>
                <w:color w:val="1F4E48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权益模块</w:t>
            </w:r>
          </w:p>
        </w:tc>
        <w:tc>
          <w:tcPr>
            <w:tcW w:type="dxa" w:w="2606"/>
            <w:vAlign w:val="center"/>
            <w:shd w:fill="DDEDEA"/>
            <w:shd w:fill="EAF3F2"/>
          </w:tcPr>
          <w:p>
            <w:pPr>
              <w:jc w:val="left"/>
            </w:pPr>
            <w:r>
              <w:rPr>
                <w:rFonts w:ascii="PingFang SC" w:hAnsi="PingFang SC" w:eastAsia="PingFang SC"/>
                <w:b/>
                <w:color w:val="1F4E48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具体内容</w:t>
            </w:r>
          </w:p>
        </w:tc>
        <w:tc>
          <w:tcPr>
            <w:tcW w:type="dxa" w:w="2606"/>
            <w:vAlign w:val="center"/>
            <w:shd w:fill="DDEDEA"/>
            <w:shd w:fill="EAF3F2"/>
          </w:tcPr>
          <w:p>
            <w:pPr>
              <w:jc w:val="left"/>
            </w:pPr>
            <w:r>
              <w:rPr>
                <w:rFonts w:ascii="PingFang SC" w:hAnsi="PingFang SC" w:eastAsia="PingFang SC"/>
                <w:b/>
                <w:color w:val="1F4E48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70万方案</w:t>
            </w:r>
          </w:p>
        </w:tc>
        <w:tc>
          <w:tcPr>
            <w:tcW w:type="dxa" w:w="2606"/>
            <w:vAlign w:val="center"/>
            <w:shd w:fill="DDEDEA"/>
            <w:shd w:fill="EAF3F2"/>
          </w:tcPr>
          <w:p>
            <w:pPr>
              <w:jc w:val="left"/>
            </w:pPr>
            <w:r>
              <w:rPr>
                <w:rFonts w:ascii="PingFang SC" w:hAnsi="PingFang SC" w:eastAsia="PingFang SC"/>
                <w:b/>
                <w:color w:val="1F4E48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80万方案</w:t>
            </w:r>
          </w:p>
        </w:tc>
      </w:tr>
      <w:tr>
        <w:tc>
          <w:tcPr>
            <w:tcW w:type="dxa" w:w="2606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IP / 图库使用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可在授权范围内使用敦煌美术研究所相关授权IP、图库及二创图库，用于联名产品、包装、吊牌、线上线下宣传及配套物料。具体素材、使用方式及修改范围以双方确认及审核结果为准。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6套二创图库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6套二创图库</w:t>
            </w:r>
          </w:p>
        </w:tc>
      </w:tr>
      <w:tr>
        <w:tc>
          <w:tcPr>
            <w:tcW w:type="dxa" w:w="2606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款式开发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在合作期内围绕授权IP开发联名服饰产品。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60个款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80个款</w:t>
            </w:r>
          </w:p>
        </w:tc>
      </w:tr>
      <w:tr>
        <w:tc>
          <w:tcPr>
            <w:tcW w:type="dxa" w:w="2606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品类范围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服饰品类覆盖男装、女装、男童、女童；同时允许开发礼赠品，礼赠品涉及10个品类。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包含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包含</w:t>
            </w:r>
          </w:p>
        </w:tc>
      </w:tr>
      <w:tr>
        <w:tc>
          <w:tcPr>
            <w:tcW w:type="dxa" w:w="2606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礼赠品开发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礼赠品品类上限为10个，具体每一品类的开发数量、组合方式及上市节奏由客户方根据项目需求决定，并按授权审核流程确认。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包含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包含</w:t>
            </w:r>
          </w:p>
        </w:tc>
      </w:tr>
      <w:tr>
        <w:tc>
          <w:tcPr>
            <w:tcW w:type="dxa" w:w="2606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宣发配合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配合客户方完成联名项目宣发支持，按“3次 × 2波”节奏执行，具体平台、素材、发布时间及内容口径以双方排期和审核确认为准。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包含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包含</w:t>
            </w:r>
          </w:p>
        </w:tc>
      </w:tr>
      <w:tr>
        <w:tc>
          <w:tcPr>
            <w:tcW w:type="dxa" w:w="2606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活动支持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允许围绕联名项目开展活动。春季与秋季各设置一个主要活动方案；二三线城市非重点门店可直接沿用 take down 版活动方案落地。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包含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包含</w:t>
            </w:r>
          </w:p>
        </w:tc>
      </w:tr>
      <w:tr>
        <w:tc>
          <w:tcPr>
            <w:tcW w:type="dxa" w:w="2606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防伪标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联名产品如使用防伪标，按0.7元/个计费，依据实际使用数量另行结算。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0.7元/个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0.7元/个</w:t>
            </w:r>
          </w:p>
        </w:tc>
      </w:tr>
      <w:tr>
        <w:tc>
          <w:tcPr>
            <w:tcW w:type="dxa" w:w="2606"/>
            <w:vAlign w:val="center"/>
            <w:shd w:fill="F4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开发期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产品开发期由双方协商确定，以最终协商结果及正式合同约定为准。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双方协商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双方协商</w:t>
            </w:r>
          </w:p>
        </w:tc>
      </w:tr>
    </w:tbl>
    <w:p>
      <w:pPr>
        <w:pStyle w:val="Heading1"/>
      </w:pPr>
      <w:r>
        <w:rPr>
          <w:rFonts w:ascii="PingFang SC" w:hAnsi="PingFang SC" w:eastAsia="PingFang SC"/>
          <w:b/>
          <w:color w:val="1F4E48"/>
        </w:rPr>
        <w:t>三、商务说明</w:t>
      </w:r>
    </w:p>
    <w:p>
      <w:pPr>
        <w:spacing w:after="120" w:line="283" w:lineRule="auto"/>
      </w:pPr>
      <w:r>
        <w:rPr>
          <w:rFonts w:ascii="PingFang SC" w:hAnsi="PingFang SC" w:eastAsia="PingFang SC"/>
          <w:b w:val="0"/>
          <w:color w:val="262626"/>
          <w:sz w:val="21"/>
        </w:rPr>
        <w:t>1. 本报价为GAP × 敦煌美术研究所IP联名授权合作的一口价报价方案，最终合作范围、授权素材、审核流程、付款节点、开票信息及双方责任边界以正式合同或补充协议为准。</w:t>
      </w:r>
    </w:p>
    <w:p>
      <w:pPr>
        <w:spacing w:after="120" w:line="283" w:lineRule="auto"/>
      </w:pPr>
      <w:r>
        <w:rPr>
          <w:rFonts w:ascii="PingFang SC" w:hAnsi="PingFang SC" w:eastAsia="PingFang SC"/>
          <w:b w:val="0"/>
          <w:color w:val="262626"/>
          <w:sz w:val="21"/>
        </w:rPr>
        <w:t>2. 授权区域为中国大陆地区及港澳地区；如需扩展至台湾地区或其他海外地区，需另行书面确认。</w:t>
      </w:r>
    </w:p>
    <w:p>
      <w:pPr>
        <w:spacing w:after="120" w:line="283" w:lineRule="auto"/>
      </w:pPr>
      <w:r>
        <w:rPr>
          <w:rFonts w:ascii="PingFang SC" w:hAnsi="PingFang SC" w:eastAsia="PingFang SC"/>
          <w:b w:val="0"/>
          <w:color w:val="262626"/>
          <w:sz w:val="21"/>
        </w:rPr>
        <w:t>3. 合作时间为12个月，清货期为6个月；清货期内的销售、宣传、库存处理及物料使用边界以合同约定为准。</w:t>
      </w:r>
    </w:p>
    <w:p>
      <w:pPr>
        <w:spacing w:after="120" w:line="283" w:lineRule="auto"/>
      </w:pPr>
      <w:r>
        <w:rPr>
          <w:rFonts w:ascii="PingFang SC" w:hAnsi="PingFang SC" w:eastAsia="PingFang SC"/>
          <w:b w:val="0"/>
          <w:color w:val="262626"/>
          <w:sz w:val="21"/>
        </w:rPr>
        <w:t>4. 图库、Logo、商标、IP名称及文化内容的使用均需按授权流程提交审核后使用，未经书面确认不得超范围、超品类、超期限或超区域使用。</w:t>
      </w:r>
    </w:p>
    <w:p>
      <w:pPr>
        <w:spacing w:after="120" w:line="283" w:lineRule="auto"/>
      </w:pPr>
      <w:r>
        <w:rPr>
          <w:rFonts w:ascii="PingFang SC" w:hAnsi="PingFang SC" w:eastAsia="PingFang SC"/>
          <w:b w:val="0"/>
          <w:color w:val="262626"/>
          <w:sz w:val="21"/>
        </w:rPr>
        <w:t>5. 活动方案、宣发节奏、门店落地及 take down 版方案的具体执行内容，以双方最终确认的项目排期、物料清单及审核结果为准。</w:t>
      </w:r>
    </w:p>
    <w:p>
      <w:pPr>
        <w:spacing w:after="120" w:line="283" w:lineRule="auto"/>
      </w:pPr>
      <w:r>
        <w:rPr>
          <w:rFonts w:ascii="PingFang SC" w:hAnsi="PingFang SC" w:eastAsia="PingFang SC"/>
          <w:b w:val="0"/>
          <w:color w:val="262626"/>
          <w:sz w:val="21"/>
        </w:rPr>
        <w:t>6. 防伪标费用不包含在上述一口价授权费用内，按实际使用数量以0.7元/个另行结算。</w:t>
      </w:r>
    </w:p>
    <w:p>
      <w:pPr>
        <w:pStyle w:val="Heading1"/>
      </w:pPr>
      <w:r>
        <w:rPr>
          <w:rFonts w:ascii="PingFang SC" w:hAnsi="PingFang SC" w:eastAsia="PingFang SC"/>
          <w:b/>
          <w:color w:val="1F4E48"/>
        </w:rPr>
        <w:t>四、确认栏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报价方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杭州鲜活万物品牌管理有限公司</w:t>
            </w:r>
          </w:p>
        </w:tc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客户方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GAP（待确认主体）</w:t>
            </w:r>
          </w:p>
        </w:tc>
      </w:tr>
      <w:tr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联系人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苏薇</w:t>
            </w:r>
          </w:p>
        </w:tc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联系人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待填写</w:t>
            </w:r>
          </w:p>
        </w:tc>
      </w:tr>
      <w:tr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联系电话 / 邮箱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15382320871</w:t>
            </w:r>
          </w:p>
        </w:tc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联系电话 / 邮箱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待填写</w:t>
            </w:r>
          </w:p>
        </w:tc>
      </w:tr>
      <w:tr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确认日期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2026年6月8日</w:t>
            </w:r>
          </w:p>
        </w:tc>
        <w:tc>
          <w:tcPr>
            <w:tcW w:type="dxa" w:w="2606"/>
            <w:vAlign w:val="center"/>
            <w:shd w:fill="F3F8F7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/>
                <w:color w:val="1F4E48"/>
                <w:sz w:val="19"/>
              </w:rPr>
              <w:t>确认日期</w:t>
            </w:r>
          </w:p>
        </w:tc>
        <w:tc>
          <w:tcPr>
            <w:tcW w:type="dxa" w:w="2606"/>
            <w:vAlign w:val="center"/>
          </w:tcPr>
          <w:p>
            <w:pPr>
              <w:jc w:val="left"/>
            </w:pPr>
            <w:r>
              <w:rPr>
                <w:rFonts w:ascii="PingFang SC" w:hAnsi="PingFang SC" w:eastAsia="PingFang SC"/>
                <w:sz w:val="19"/>
              </w:rPr>
            </w:r>
            <w:r>
              <w:rPr>
                <w:rFonts w:ascii="PingFang SC" w:hAnsi="PingFang SC" w:eastAsia="PingFang SC"/>
                <w:b w:val="0"/>
                <w:color w:val="333333"/>
                <w:sz w:val="19"/>
              </w:rPr>
              <w:t>待填写</w:t>
            </w:r>
          </w:p>
        </w:tc>
      </w:tr>
    </w:tbl>
    <w:sectPr w:rsidR="00FC693F" w:rsidRPr="0006063C" w:rsidSect="00034616">
      <w:pgSz w:w="12240" w:h="15840"/>
      <w:pgMar w:top="850" w:right="907" w:bottom="85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ingFang SC" w:hAnsi="PingFang SC" w:eastAsia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