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1296000" cy="7733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敦煌美术研究所_标准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77333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40"/>
        <w:jc w:val="center"/>
      </w:pPr>
      <w:r>
        <w:rPr>
          <w:rFonts w:ascii="微软雅黑" w:hAnsi="微软雅黑" w:eastAsia="微软雅黑"/>
          <w:b/>
          <w:color w:val="17365D"/>
          <w:sz w:val="48"/>
        </w:rPr>
        <w:t>商务报价单</w:t>
      </w:r>
    </w:p>
    <w:p>
      <w:pPr>
        <w:spacing w:after="200"/>
        <w:jc w:val="center"/>
      </w:pPr>
      <w:r>
        <w:rPr>
          <w:rFonts w:ascii="微软雅黑" w:hAnsi="微软雅黑" w:eastAsia="微软雅黑"/>
          <w:b w:val="0"/>
          <w:color w:val="5A6678"/>
          <w:sz w:val="25"/>
        </w:rPr>
        <w:t>百丽旗下鞋履品牌 × 敦煌美术研究所 IP 联名授权合作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C9D2E3"/>
          <w:left w:val="single" w:sz="6" w:space="0" w:color="C9D2E3"/>
          <w:bottom w:val="single" w:sz="6" w:space="0" w:color="C9D2E3"/>
          <w:right w:val="single" w:sz="6" w:space="0" w:color="C9D2E3"/>
          <w:insideH w:val="single" w:sz="6" w:space="0" w:color="C9D2E3"/>
          <w:insideV w:val="single" w:sz="6" w:space="0" w:color="C9D2E3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客户方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百丽集团旗下鞋履品牌（待确认主体）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杭州鲜活万物品牌管理有限公司（敦煌美术研究所独家代理）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项目名称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百丽旗下鞋履品牌 × 敦煌美术研究所 IP 联名授权合作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2026/6/17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报价有效期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自报价日起30天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报价方案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保底+分成 / 40万一口价双方案</w:t>
            </w:r>
          </w:p>
        </w:tc>
      </w:tr>
    </w:tbl>
    <w:p/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一、报价方案总览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096"/>
        <w:gridCol w:w="2096"/>
        <w:gridCol w:w="2096"/>
        <w:gridCol w:w="2096"/>
        <w:gridCol w:w="2096"/>
      </w:tblGrid>
      <w:tr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授权期限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清货期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核心权益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授权费用</w:t>
            </w:r>
          </w:p>
        </w:tc>
      </w:tr>
      <w:tr>
        <w:tc>
          <w:tcPr>
            <w:tcW w:type="dxa" w:w="2096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方案A｜保底 + 超额分成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20–25张授权图库；可开发5–6款联名鞋履；可开发5个礼赠周边细分品类；双方社交媒体同步宣发；敦煌美术研究所微博、公众号、视频号、快手、抖音、小红书账号矩阵联动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保底授权费20万元；超出保底销售额后按6%提成</w:t>
            </w:r>
          </w:p>
        </w:tc>
      </w:tr>
      <w:tr>
        <w:tc>
          <w:tcPr>
            <w:tcW w:type="dxa" w:w="2096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方案B｜40万一口价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20–25张授权图库；可开发5–6款联名鞋履；可开发5个礼赠周边细分品类；双方社交媒体同步宣发；敦煌美术研究所微博、公众号、视频号、快手、抖音、小红书账号矩阵联动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一口价授权费40万元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二、授权基础条件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3494"/>
        <w:gridCol w:w="3494"/>
        <w:gridCol w:w="3494"/>
      </w:tblGrid>
      <w:tr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项目</w:t>
            </w:r>
          </w:p>
        </w:tc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方案A｜保底 + 超额分成</w:t>
            </w:r>
          </w:p>
        </w:tc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方案B｜40万一口价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授权期限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6个月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6个月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清货期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3个月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3个月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授权区域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中国大陆地区（如需扩展港澳台或海外地区，需另行书面确认）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中国大陆地区（如需扩展港澳台或海外地区，需另行书面确认）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授权品类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鞋履联名产品；可开发5–6款，同款不同颜色视为一款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鞋履联名产品；可开发5–6款，同款不同颜色视为一款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图库授权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可使用20–25张敦煌美术研究所授权图库；品牌当前意向以羊年图库为主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可使用20–25张敦煌美术研究所授权图库；品牌当前意向以羊年图库为主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宣发联动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双方社交媒体同步宣发；敦煌美术研究所微博、公众号、视频号、快手、抖音、小红书账号矩阵配合联动发布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双方社交媒体同步宣发；敦煌美术研究所微博、公众号、视频号、快手、抖音、小红书账号矩阵配合联动发布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周边开发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可开发5个礼赠周边细分品类，如小配饰、丝巾等常见文创产品品类；仅用于礼赠场景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可开发5个礼赠周边细分品类，如小配饰、丝巾等常见文创产品品类；仅用于礼赠场景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三、授权权益明细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权益模块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具体内容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方案A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方案B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授权权益 / 基础授权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在约定授权区域、授权期限、授权品类及销售渠道内，客户方可围绕百丽旗下鞋履品牌 × 敦煌美术研究所联名项目使用经双方确认的授权素材、联名名称及相关IP内容。具体授权边界、审核流程及使用规范以双方正式合同及官方审核确认为准。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图库使用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可从敦煌美术研究所授权图库中选择20–25张图进行联名产品、包装、吊牌、线上线下宣传及配套物料使用；品牌当前意向以羊年图库为主。具体图片清单、二次创作方式及使用边界以双方确认结果为准。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20–25张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20–25张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鞋履产品开发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围绕授权图库进行鞋履联名开发。联名产品的设计稿、包装、吊牌、物料及上市前宣传内容需按授权流程提交审核后使用。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5–6款；同款不同颜色视为一款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5–6款；同款不同颜色视为一款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礼赠周边开发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可开发5个礼赠周边细分品类，用于礼赠场景。礼赠周边需符合授权素材使用边界，并按审核流程确认；如涉及销售用途、独立上市或扩展品类，需另行书面确认。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5个细分品类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5个细分品类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官方宣发支持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敦煌美术研究所微博、公众号、视频号、快手、抖音、小红书账号可配合宣传联名合作内容，双方社交媒体同步宣发联动。具体平台组合、素材内容、发布时间、发布次数及内容口径以双方排期和审核确认为准。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品牌渠道传播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客户方可在经确认的线上线下销售渠道、品牌社交媒体、会员触点及门店物料中使用联名项目内容，具体露出方式以授权审核结果为准。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Logo / 名称使用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可在经确认的联名产品、包装吊牌、宣传物料、销售页面及项目传播中使用敦煌美术研究所名称、Logo或授权标识；具体露出形式以官方审核确认为准。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四、费用及结算方式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合作方案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授权费用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分成 / 结算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说明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方案A｜保底 + 超额分成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保底授权费20万元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超额分成比例6%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包含5–6款联名鞋履开发权利及5个礼赠周边细分品类开发权利；保底销售额 = 20万元 ÷ 6% = 333.33万元；在保底销售额内不再另行支付分成，超出部分按6%支付提成；超额分成每月结算一次，销售额口径以合同约定为准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方案B｜40万一口价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一口价授权费40万元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不另设超额分成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授权期内按本报价单约定范围执行；包含5–6款联名鞋履开发权利及5个礼赠周边细分品类开发权利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五、商务执行说明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1. 杭州鲜活万物品牌管理有限公司为敦煌美术研究所独家代理，本报价单由其作为本次授权合作商务报价主体出具。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2. 本报价为商务报价参考，最终合作范围、授权素材、审核流程、付款节点、开票信息、结算方式及双方责任边界以双方正式签署的合同或补充协议为准。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3. 授权期为6个月，另设3个月清货期；清货期内的销售、宣传、库存处理及物料使用边界以正式合同约定为准。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4. 图库授权数量为20–25张，品牌当前意向以羊年图库为主；最终图片清单、设计修改方式、应用范围及审核标准以双方确认结果为准。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5. 方案A中，保底销售额按20万元 ÷ 6%计算，约为333.33万元；在保底销售额内不再额外支付分成，超出保底销售额部分按6%支付提成，并按月结算。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6. 方案A及方案B均包含5–6款联名鞋履开发权利，同款不同颜色视为一款；同时均包含5个礼赠周边细分品类开发权利，周边仅用于礼赠场景，如需销售或扩展品类需另行确认。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7. 双方社交媒体及敦煌美术研究所微博、公众号、视频号、快手、抖音、小红书账号矩阵联动需根据实际执行方案确认平台、排期、物料、审核标准及发布口径。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8. 所有涉及敦煌美术研究所名称、Logo、图库、授权标识及文化内容的使用，须按授权流程提交审核后使用；未经书面确认不得超范围、超品类、超期限或超区域使用。</w:t>
      </w:r>
    </w:p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六、确认栏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C9D2E3"/>
          <w:left w:val="single" w:sz="6" w:space="0" w:color="C9D2E3"/>
          <w:bottom w:val="single" w:sz="6" w:space="0" w:color="C9D2E3"/>
          <w:right w:val="single" w:sz="6" w:space="0" w:color="C9D2E3"/>
          <w:insideH w:val="single" w:sz="6" w:space="0" w:color="C9D2E3"/>
          <w:insideV w:val="single" w:sz="6" w:space="0" w:color="C9D2E3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报价方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杭州鲜活万物品牌管理有限公司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客户方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百丽集团旗下鞋履品牌（待确认主体）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联系人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苏薇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联系人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联系电话/邮箱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15382320871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联系电话/邮箱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确认日期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2026年6月17日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确认日期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</w:tbl>
    <w:sectPr w:rsidR="00FC693F" w:rsidRPr="0006063C" w:rsidSect="00034616">
      <w:footerReference w:type="default" r:id="rId10"/>
      <w:pgSz w:w="12240" w:h="15840"/>
      <w:pgMar w:top="850" w:right="879" w:bottom="794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微软雅黑" w:hAnsi="微软雅黑" w:eastAsia="微软雅黑"/>
        <w:b w:val="0"/>
        <w:color w:val="8A94A6"/>
        <w:sz w:val="16"/>
      </w:rPr>
      <w:t>本报价单为商务沟通文件｜最终权利义务以双方正式合同为准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