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1296000" cy="773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敦煌美术研究所_标准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73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百丽旗下鞋履品牌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百丽集团旗下鞋履品牌（待确认主体）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百丽旗下鞋履品牌 × 敦煌美术研究所 IP 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2026/6/17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报价方案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保底+分成 / 40万一口价双方案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授权期限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20–25张授权图库；鞋履联名产品开发；双方社交媒体同步宣发；敦煌美术研究所官方账号矩阵联动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保底授权费20万元；超出保底销售额后按6%提成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20–25张授权图库；可开发5–6款联名鞋履；另可开发5种礼赠周边；双方社交媒体同步宣发；敦煌美术研究所官方账号矩阵联动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方案A｜保底 + 超额分成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方案B｜40万一口价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授权期限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授权区域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鞋履联名产品；具体鞋型、上市渠道及销售范围以双方合同和审核结果为准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宣发联动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双方社交媒体同步宣发；敦煌美术研究所官方账号矩阵配合联动发布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双方社交媒体同步宣发；敦煌美术研究所官方账号矩阵配合联动发布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周边开发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如需开发鞋履以外周边，需另行确认品类及费用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可在本方案基础上开发5种礼赠周边，如小配饰、丝巾等常见文创产品品类；仅用于礼赠场景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在约定授权区域、授权期限、授权品类及销售渠道内，客户方可围绕百丽旗下鞋履品牌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可从敦煌美术研究所授权图库中选择20–25张图进行联名产品、包装、吊牌、线上线下宣传及配套物料使用；品牌当前意向以羊年图库为主。具体图片清单、二次创作方式及使用边界以双方确认结果为准。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鞋履产品开发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围绕授权图库进行鞋履联名开发。联名产品的设计稿、包装、吊牌、物料及上市前宣传内容需按授权流程提交审核后使用。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款式数量按实际产品开发方案确认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礼赠周边开发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礼赠周边需符合授权素材使用边界，并按审核流程确认；如涉及额外品类、销售用途或独立上市，需另行书面确认。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不含；如需开发另议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可开发5种礼赠周边，用于礼赠场景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官方宣发支持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敦煌美术研究所官方账号矩阵可配合宣传联名合作内容，双方社交媒体同步宣发联动。具体平台组合、素材内容、发布时间、发布次数及内容口径以双方排期和审核确认为准。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品牌渠道传播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客户方可在经确认的线上线下销售渠道、品牌社交媒体、会员触点及门店物料中使用联名项目内容，具体露出方式以授权审核结果为准。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名称使用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可在经确认的联名产品、包装吊牌、宣传物料、销售页面及项目传播中使用敦煌美术研究所名称、Logo或授权标识；具体露出形式以官方审核确认为准。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四、费用及结算方式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分成 / 结算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说明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超额分成比例6%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保底销售额 = 20万元 ÷ 6% = 333.33万元；在保底销售额内不再另行支付分成，超出部分按6%支付提成；超额分成每月结算一次，销售额口径以合同约定为准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不另设超额分成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授权期内按本报价单约定范围执行；包含5–6款联名鞋履开发权利及5种礼赠周边开发权利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本报价为商务报价参考，最终合作范围、授权素材、审核流程、付款节点、开票信息、结算方式及双方责任边界以双方正式签署的合同或补充协议为准。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授权期为6个月，另设3个月清货期；清货期内的销售、宣传、库存处理及物料使用边界以正式合同约定为准。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图库授权数量为20–25张，品牌当前意向以羊年图库为主；最终图片清单、设计修改方式、应用范围及审核标准以双方确认结果为准。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方案A中，保底销售额按20万元 ÷ 6%计算，约为333.33万元；在保底销售额内不再额外支付分成，超出保底销售额部分按6%支付提成，并按月结算。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方案B中，鞋履开发数量为5–6款，同款不同颜色视为一款；另可开发5种礼赠周边，周边仅用于礼赠场景，如需销售或扩展品类需另行确认。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双方社交媒体及官方账号矩阵联动需根据实际执行方案确认平台、排期、物料、审核标准及发布口径。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所有涉及敦煌美术研究所名称、Logo、图库、授权标识及文化内容的使用，须按授权流程提交审核后使用；未经书面确认不得超范围、超品类、超期限或超区域使用。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百丽集团旗下鞋履品牌（待确认主体）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2026年6月17日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850" w:right="879" w:bottom="794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